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447A" w14:textId="6FB1B236" w:rsidR="00234796" w:rsidRPr="00234796" w:rsidRDefault="00234796" w:rsidP="000C7A7A">
      <w:pPr>
        <w:tabs>
          <w:tab w:val="left" w:pos="1785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3B57E7">
        <w:rPr>
          <w:b/>
          <w:bCs/>
          <w:sz w:val="28"/>
          <w:szCs w:val="28"/>
        </w:rPr>
        <w:t xml:space="preserve">       </w:t>
      </w:r>
      <w:r w:rsidRPr="00234796">
        <w:rPr>
          <w:b/>
          <w:bCs/>
          <w:sz w:val="28"/>
          <w:szCs w:val="28"/>
        </w:rPr>
        <w:t>Кравчук Е.Г.</w:t>
      </w:r>
    </w:p>
    <w:p w14:paraId="37504791" w14:textId="3EEBBC72" w:rsidR="00853D46" w:rsidRDefault="00853D46" w:rsidP="003B57E7">
      <w:pPr>
        <w:pBdr>
          <w:bottom w:val="single" w:sz="12" w:space="1" w:color="auto"/>
        </w:pBdr>
        <w:spacing w:line="276" w:lineRule="auto"/>
        <w:ind w:firstLine="540"/>
        <w:jc w:val="center"/>
        <w:rPr>
          <w:sz w:val="28"/>
          <w:szCs w:val="28"/>
        </w:rPr>
      </w:pPr>
      <w:bookmarkStart w:id="0" w:name="_Hlk119282329"/>
      <w:r w:rsidRPr="003B57E7">
        <w:rPr>
          <w:sz w:val="28"/>
          <w:szCs w:val="28"/>
        </w:rPr>
        <w:t>(кафедра экономики Образовательного частного учреждения высшего образования «Международный инновационный университет»)</w:t>
      </w:r>
    </w:p>
    <w:bookmarkEnd w:id="0"/>
    <w:p w14:paraId="74A92B11" w14:textId="77777777" w:rsidR="00625C66" w:rsidRPr="003B57E7" w:rsidRDefault="00625C66" w:rsidP="003B57E7">
      <w:pPr>
        <w:pBdr>
          <w:bottom w:val="single" w:sz="12" w:space="1" w:color="auto"/>
        </w:pBdr>
        <w:spacing w:line="276" w:lineRule="auto"/>
        <w:ind w:firstLine="540"/>
        <w:jc w:val="center"/>
        <w:rPr>
          <w:sz w:val="28"/>
          <w:szCs w:val="28"/>
        </w:rPr>
      </w:pPr>
    </w:p>
    <w:p w14:paraId="00106C2D" w14:textId="77777777" w:rsidR="000B6B04" w:rsidRDefault="000B6B04" w:rsidP="003B57E7">
      <w:pPr>
        <w:tabs>
          <w:tab w:val="left" w:pos="1785"/>
        </w:tabs>
        <w:spacing w:line="360" w:lineRule="auto"/>
        <w:jc w:val="center"/>
        <w:rPr>
          <w:sz w:val="28"/>
          <w:szCs w:val="28"/>
        </w:rPr>
      </w:pPr>
    </w:p>
    <w:p w14:paraId="155E20EC" w14:textId="77777777" w:rsidR="000B6B04" w:rsidRDefault="000B6B04" w:rsidP="003B57E7">
      <w:pPr>
        <w:tabs>
          <w:tab w:val="left" w:pos="1785"/>
        </w:tabs>
        <w:spacing w:line="360" w:lineRule="auto"/>
        <w:jc w:val="center"/>
        <w:rPr>
          <w:sz w:val="28"/>
          <w:szCs w:val="28"/>
        </w:rPr>
      </w:pPr>
    </w:p>
    <w:p w14:paraId="30DBAE80" w14:textId="77777777" w:rsidR="000B6B04" w:rsidRDefault="000B6B04" w:rsidP="003B57E7">
      <w:pPr>
        <w:tabs>
          <w:tab w:val="left" w:pos="1785"/>
        </w:tabs>
        <w:spacing w:line="360" w:lineRule="auto"/>
        <w:jc w:val="center"/>
        <w:rPr>
          <w:b/>
          <w:bCs/>
          <w:sz w:val="28"/>
          <w:szCs w:val="28"/>
        </w:rPr>
      </w:pPr>
      <w:r w:rsidRPr="000B6B04">
        <w:rPr>
          <w:b/>
          <w:bCs/>
          <w:sz w:val="28"/>
          <w:szCs w:val="28"/>
        </w:rPr>
        <w:t xml:space="preserve">Маркетинговые подходы к системе последипломного обучения </w:t>
      </w:r>
    </w:p>
    <w:p w14:paraId="0CF6E54F" w14:textId="44ACB655" w:rsidR="00234796" w:rsidRPr="000B6B04" w:rsidRDefault="000B6B04" w:rsidP="003B57E7">
      <w:pPr>
        <w:tabs>
          <w:tab w:val="left" w:pos="1785"/>
        </w:tabs>
        <w:spacing w:line="360" w:lineRule="auto"/>
        <w:jc w:val="center"/>
        <w:rPr>
          <w:b/>
          <w:bCs/>
          <w:sz w:val="28"/>
          <w:szCs w:val="28"/>
        </w:rPr>
      </w:pPr>
      <w:r w:rsidRPr="000B6B04">
        <w:rPr>
          <w:b/>
          <w:bCs/>
          <w:sz w:val="28"/>
          <w:szCs w:val="28"/>
        </w:rPr>
        <w:t>специалистов жилищно-коммунального хозяйства и строительства</w:t>
      </w:r>
      <w:r>
        <w:rPr>
          <w:b/>
          <w:bCs/>
          <w:sz w:val="28"/>
          <w:szCs w:val="28"/>
        </w:rPr>
        <w:t>.</w:t>
      </w:r>
    </w:p>
    <w:p w14:paraId="0366B53D" w14:textId="0D245F84" w:rsidR="006945F7" w:rsidRDefault="006945F7" w:rsidP="006945F7">
      <w:pPr>
        <w:widowControl w:val="0"/>
        <w:tabs>
          <w:tab w:val="left" w:pos="0"/>
          <w:tab w:val="left" w:pos="709"/>
          <w:tab w:val="left" w:pos="851"/>
          <w:tab w:val="num" w:pos="1134"/>
        </w:tabs>
        <w:jc w:val="both"/>
      </w:pPr>
      <w:r>
        <w:rPr>
          <w:i/>
          <w:iCs/>
        </w:rPr>
        <w:t>Справка IT- системного администратора сайта</w:t>
      </w:r>
      <w:r>
        <w:t xml:space="preserve">: </w:t>
      </w:r>
      <w:r>
        <w:rPr>
          <w:iCs/>
        </w:rPr>
        <w:t>(дайджест по тексту рекламного издания</w:t>
      </w:r>
      <w:r>
        <w:t xml:space="preserve"> «</w:t>
      </w:r>
      <w:r w:rsidR="00043DF8">
        <w:t>ЖКХ</w:t>
      </w:r>
      <w:r>
        <w:t>».-2011.-№</w:t>
      </w:r>
      <w:r w:rsidR="00043DF8">
        <w:t>2</w:t>
      </w:r>
      <w:r>
        <w:t>.-С.33-36.</w:t>
      </w:r>
      <w:r>
        <w:rPr>
          <w:iCs/>
        </w:rPr>
        <w:t>, зарегистрированного в</w:t>
      </w:r>
      <w:r>
        <w:rPr>
          <w:i/>
          <w:iCs/>
        </w:rPr>
        <w:t xml:space="preserve"> информационно- рекламном публикаторе </w:t>
      </w:r>
      <w:r>
        <w:t xml:space="preserve">дайджестов, экономических подборок и кратких рекламных обзоров статей, имеющих высокий рекламный рейтинг по анализу популярности количества прочтений специалистами в сфере маркетинга). Текст публикатора доступен с </w:t>
      </w:r>
      <w:r w:rsidR="00043DF8">
        <w:t>07</w:t>
      </w:r>
      <w:r>
        <w:t>.0</w:t>
      </w:r>
      <w:r w:rsidR="00043DF8">
        <w:t>9</w:t>
      </w:r>
      <w:r>
        <w:t>.201</w:t>
      </w:r>
      <w:r w:rsidR="00043DF8">
        <w:t>1</w:t>
      </w:r>
      <w:r>
        <w:t xml:space="preserve">; материал получен и в автоматическом режиме размещен в </w:t>
      </w:r>
      <w:r w:rsidR="00043DF8">
        <w:t>08</w:t>
      </w:r>
      <w:r>
        <w:t>:</w:t>
      </w:r>
      <w:r w:rsidR="00043DF8">
        <w:t>54</w:t>
      </w:r>
      <w:r>
        <w:t xml:space="preserve"> по мс </w:t>
      </w:r>
      <w:r w:rsidR="00043DF8">
        <w:t>07</w:t>
      </w:r>
      <w:r>
        <w:t>.0</w:t>
      </w:r>
      <w:r w:rsidR="00043DF8">
        <w:t>9</w:t>
      </w:r>
      <w:r>
        <w:t>:201</w:t>
      </w:r>
      <w:r w:rsidR="00043DF8">
        <w:t>1</w:t>
      </w:r>
      <w:r>
        <w:t xml:space="preserve"> по ссылке </w:t>
      </w:r>
      <w:hyperlink r:id="rId5" w:history="1">
        <w:r>
          <w:rPr>
            <w:rStyle w:val="a3"/>
            <w:shd w:val="clear" w:color="auto" w:fill="FFFFFF"/>
          </w:rPr>
          <w:t>http://optima-sochi.ru/our-services/predlozhenie-po-reklame/</w:t>
        </w:r>
      </w:hyperlink>
      <w:r>
        <w:t xml:space="preserve"> </w:t>
      </w:r>
    </w:p>
    <w:p w14:paraId="1643A0F5" w14:textId="77777777" w:rsidR="006945F7" w:rsidRPr="00671B03" w:rsidRDefault="006945F7" w:rsidP="006945F7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6EE9B9D" w14:textId="4861C795" w:rsidR="000C7A7A" w:rsidRDefault="006F2E4B" w:rsidP="000C7A7A">
      <w:pPr>
        <w:tabs>
          <w:tab w:val="left" w:pos="17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7A7A">
        <w:rPr>
          <w:sz w:val="28"/>
          <w:szCs w:val="28"/>
        </w:rPr>
        <w:t xml:space="preserve">Обсуждая вопросы маркетинга на рынке услуг </w:t>
      </w:r>
      <w:bookmarkStart w:id="1" w:name="_Hlk119236470"/>
      <w:r w:rsidR="000C7A7A">
        <w:rPr>
          <w:sz w:val="28"/>
          <w:szCs w:val="28"/>
        </w:rPr>
        <w:t>последипломного обучения специалистов жилищно-коммунального хозяйства и строительства</w:t>
      </w:r>
      <w:bookmarkEnd w:id="1"/>
      <w:r w:rsidR="000C7A7A">
        <w:rPr>
          <w:sz w:val="28"/>
          <w:szCs w:val="28"/>
        </w:rPr>
        <w:t xml:space="preserve">, известный уральский маркетолог С.С. Набойченко (2011) подчеркивает, что «согласно современным представлениям о характере общественного производства, оно включает в себя как материальное, так и нематериальное производство, а каждое из них, в свою очередь, производство соответствующих благ и услуг. В процессе дальнейшей идентификации для практических нужд народно-хозяйственной статистики в качестве сфер деятельности обычно фигурируют, во-первых, производство материальных благ и, во-вторых, "объединенная" сфера услуг (материальных и нематериальных). При этом производство нематериальных благ каким-то непостижимым образом вообще исчезает из числа самостоятельных объектов статистического изучения, растворяясь в той же сфере услуг, например, в последнюю попадают такие отрасли - создатели нематериальных благ, как наука и высшее образование. Представляется, что производство нематериальных благ (без нематериальных услуг, которые все же целесообразно оставить в "объединенной" сфере услуг) необходимо выделить в качестве третьей сферы общественного производства в сферу интеллектуальной деятельности (как в области научного и научно-технического </w:t>
      </w:r>
      <w:r w:rsidR="000C7A7A">
        <w:rPr>
          <w:sz w:val="28"/>
          <w:szCs w:val="28"/>
        </w:rPr>
        <w:lastRenderedPageBreak/>
        <w:t>творчества, так и в области художественного творчества). Роль и значение сферы интеллектуальной деятельности по мере продвижения общества по инновационному пути развития стремительно возрастает. Несомненно, что для абсолютного большинства промышленно развитых и новых индустриальных стран именно третья сфера все в большей степени становится определяющей в национальной экономике. Видовая структура, внешние связи и кругооборот создаваемых нематериальных благ (прежде всего, в области научного и научно-технического творчества) представлены ниже. Интеллектуальная же деятельность в области художественного творчества, включающая в себя создание произведений литературы, архитектуры, живописи, графики, декоративно-прикладного искусства, музыки, танца, театра, кино и т. д., достаточно специфична. Что касается интеллектуальной деятельности в области научного творчества, то она заключается в создании новых нематериальных благ, распространении знаний о них (путем обучения специалистов, информирования о патентах и свидетельствах и т. д.), осуществлении трансформации нематериальных благ в инновации и трансфера результатов в сферу материальных благ, сферу услуг и в сферу интеллектуальной деятельности. При этом профессиональное обучение в рыночных условиях приобретает форму процесса капитализации знаний. Носители этих знаний (индивидуумы, обладающие человеческим капиталом, так же</w:t>
      </w:r>
      <w:r w:rsidR="00907647">
        <w:rPr>
          <w:sz w:val="28"/>
          <w:szCs w:val="28"/>
        </w:rPr>
        <w:t xml:space="preserve"> </w:t>
      </w:r>
      <w:r w:rsidR="000C7A7A">
        <w:rPr>
          <w:sz w:val="28"/>
          <w:szCs w:val="28"/>
        </w:rPr>
        <w:t>как инновационные результаты</w:t>
      </w:r>
      <w:r w:rsidR="00907647">
        <w:rPr>
          <w:sz w:val="28"/>
          <w:szCs w:val="28"/>
        </w:rPr>
        <w:t xml:space="preserve">) </w:t>
      </w:r>
      <w:r w:rsidR="000C7A7A">
        <w:rPr>
          <w:sz w:val="28"/>
          <w:szCs w:val="28"/>
        </w:rPr>
        <w:t xml:space="preserve">перемещаются в одну из трех сфер общественного производства, где их личностный фактор производства трансформируется в функционирующий человеческий актив соответствующих предприятий и организаций. Таким образом, оборот производства нематериальных благ, начавшись в третьей сфере, в ней же получает и логическое завершение. Итак, каковы же причины целесообразности выделения в классификации сфер общественного производства сферы интеллектуальной деятельности? Дело в том, что в существующей классификации производство нематериальных благ искусственно отнесено к сфере услуг. Именно в сферу услуг входят (согласно действующему ОКДП) отрасли "Наука и научное обслуживание" и "Образование". Между тем само наименование отрасли "Наука </w:t>
      </w:r>
      <w:r w:rsidR="000C7A7A">
        <w:rPr>
          <w:sz w:val="28"/>
          <w:szCs w:val="28"/>
        </w:rPr>
        <w:lastRenderedPageBreak/>
        <w:t>и научное обслуживание" для условий формирующейся инновационной экономики является нонсенсом: современная наука должна не "обслуживать" производство, а создавать новые нематериальные блага и обеспечивать их трансфер в общественное производство. В отрасли "Образование" особое место занимают вузы, которые идентифицируются как научно-образовательные учреждения. Данный факт, а также выполненный анализ кругооборота нематериальных благ показывают, что высшая школа призвана создавать новые знания, трансформировать их в инновации и в формирующийся человеческий капитал, осуществлять трансфер и того, и другого во все сферы общественного производства. Очевидно, это решительным образом отличает высшую школу от всех других образовательных учреждений, в которых доминирует более простой процесс распространения знаний, выработанных в сфере производства нематериальных благ (т.е. процесс оказания образовательных услуг). Следовательно, отрасли "Наука" и "Высшее образование" необходимо отнести к сфере интеллектуальной деятельности, где производятся нематериальные блага. Именно данная сфера будет в решающей степени способствовать созданию инновационной экономики, являющейся, в первую очередь, экономикой производства нематериальных благ, а не экономикой разнородных услуг, из которых только небольшая часть может быть отнесена к услугам интеллектуального характера».</w:t>
      </w:r>
    </w:p>
    <w:p w14:paraId="2DB66F80" w14:textId="77777777" w:rsidR="00073593" w:rsidRPr="00AE6543" w:rsidRDefault="00073593" w:rsidP="00073593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AE6543">
        <w:rPr>
          <w:sz w:val="28"/>
          <w:szCs w:val="28"/>
        </w:rPr>
        <w:t>Вышеизложенный научный тезис потребовал сформировать собственное видение рыночных перспектив предложенной в рамках исследования эксклюзивной экономической экспертизы рыночной успешности ряда форм организации продвижения продукта строительных фирм на рынке первичного и вторичного жилья.</w:t>
      </w:r>
      <w:r w:rsidRPr="00AE6543">
        <w:rPr>
          <w:color w:val="000000"/>
          <w:sz w:val="28"/>
          <w:szCs w:val="28"/>
        </w:rPr>
        <w:t xml:space="preserve"> Однозначным представляется то, что все этапы процесса маркетингового контроля должны быть направлены на своевременное выявление всех проблем и отклонений от нормального продвижения к поставленным целям, а также </w:t>
      </w:r>
      <w:proofErr w:type="gramStart"/>
      <w:r w:rsidRPr="00AE6543">
        <w:rPr>
          <w:color w:val="000000"/>
          <w:sz w:val="28"/>
          <w:szCs w:val="28"/>
        </w:rPr>
        <w:t>на  соответствующую</w:t>
      </w:r>
      <w:proofErr w:type="gramEnd"/>
      <w:r w:rsidRPr="00AE6543">
        <w:rPr>
          <w:color w:val="000000"/>
          <w:sz w:val="28"/>
          <w:szCs w:val="28"/>
        </w:rPr>
        <w:t xml:space="preserve"> корректировку деятельности предприятия, чтобы имеющиеся проблемы не переросли в кризис. В этом сущность системы </w:t>
      </w:r>
      <w:r w:rsidRPr="00AE6543">
        <w:rPr>
          <w:color w:val="000000"/>
          <w:sz w:val="28"/>
          <w:szCs w:val="28"/>
        </w:rPr>
        <w:lastRenderedPageBreak/>
        <w:t>маркетингового контроля. маркетингового контроля, как отмечает А.П. Дурович (2003), «состоит из четырех стадий, куда входит установление плановых величин и стандартов (цели и нормы).</w:t>
      </w:r>
      <w:r>
        <w:rPr>
          <w:color w:val="000000"/>
          <w:sz w:val="28"/>
          <w:szCs w:val="28"/>
        </w:rPr>
        <w:t xml:space="preserve"> </w:t>
      </w:r>
      <w:r w:rsidRPr="00AE6543">
        <w:rPr>
          <w:color w:val="000000"/>
          <w:sz w:val="28"/>
          <w:szCs w:val="28"/>
        </w:rPr>
        <w:t>Конкретными его задачами могут быть:</w:t>
      </w:r>
    </w:p>
    <w:p w14:paraId="4AE045FC" w14:textId="77777777" w:rsidR="00073593" w:rsidRPr="00E1625E" w:rsidRDefault="00073593" w:rsidP="00073593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rPr>
          <w:color w:val="000000"/>
          <w:sz w:val="28"/>
          <w:szCs w:val="28"/>
        </w:rPr>
      </w:pPr>
      <w:r w:rsidRPr="00E1625E">
        <w:rPr>
          <w:color w:val="000000"/>
          <w:sz w:val="28"/>
          <w:szCs w:val="28"/>
        </w:rPr>
        <w:t xml:space="preserve"> установление степени достижения цели (анализ отклонений);</w:t>
      </w:r>
    </w:p>
    <w:p w14:paraId="18E9AF23" w14:textId="77777777" w:rsidR="00073593" w:rsidRPr="00E1625E" w:rsidRDefault="00073593" w:rsidP="00073593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rPr>
          <w:color w:val="000000"/>
          <w:sz w:val="28"/>
          <w:szCs w:val="28"/>
        </w:rPr>
      </w:pPr>
      <w:r w:rsidRPr="00E1625E">
        <w:rPr>
          <w:color w:val="000000"/>
          <w:sz w:val="28"/>
          <w:szCs w:val="28"/>
        </w:rPr>
        <w:t xml:space="preserve"> выяснение возможностей улучшения (обратная связь);</w:t>
      </w:r>
    </w:p>
    <w:p w14:paraId="57F09C58" w14:textId="77777777" w:rsidR="00073593" w:rsidRPr="00E1625E" w:rsidRDefault="00073593" w:rsidP="00073593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60" w:lineRule="auto"/>
        <w:ind w:firstLine="709"/>
        <w:rPr>
          <w:color w:val="000000"/>
          <w:sz w:val="28"/>
          <w:szCs w:val="28"/>
        </w:rPr>
      </w:pPr>
      <w:r w:rsidRPr="00E1625E">
        <w:rPr>
          <w:color w:val="000000"/>
          <w:sz w:val="28"/>
          <w:szCs w:val="28"/>
        </w:rPr>
        <w:t xml:space="preserve"> проверка того, насколько приспособляемость предприятия к изменениям условий окружающей среды соответствует требуемой».</w:t>
      </w:r>
    </w:p>
    <w:p w14:paraId="44AAB283" w14:textId="346FC034" w:rsidR="00073593" w:rsidRDefault="00F820AE" w:rsidP="00073593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F820AE">
        <w:rPr>
          <w:b/>
          <w:bCs/>
          <w:color w:val="000000"/>
          <w:sz w:val="28"/>
          <w:szCs w:val="28"/>
        </w:rPr>
        <w:t>Литература.</w:t>
      </w:r>
    </w:p>
    <w:p w14:paraId="76166DF8" w14:textId="48346929" w:rsidR="0013586D" w:rsidRDefault="0013586D" w:rsidP="0013586D">
      <w:pPr>
        <w:widowControl w:val="0"/>
        <w:numPr>
          <w:ilvl w:val="0"/>
          <w:numId w:val="2"/>
        </w:numPr>
        <w:tabs>
          <w:tab w:val="clear" w:pos="675"/>
          <w:tab w:val="left" w:pos="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25E">
        <w:rPr>
          <w:sz w:val="28"/>
          <w:szCs w:val="28"/>
        </w:rPr>
        <w:t xml:space="preserve"> Дурович </w:t>
      </w:r>
      <w:r>
        <w:rPr>
          <w:sz w:val="28"/>
          <w:szCs w:val="28"/>
        </w:rPr>
        <w:t xml:space="preserve">А.П. </w:t>
      </w:r>
      <w:r w:rsidRPr="00E1625E">
        <w:rPr>
          <w:sz w:val="28"/>
          <w:szCs w:val="28"/>
        </w:rPr>
        <w:t>Маркетинг в предпринимательской деятельности. – Мн.: НПЖ «Финансы, учет, аудит», 2003. – 216 с.</w:t>
      </w:r>
    </w:p>
    <w:p w14:paraId="15BCA144" w14:textId="77777777" w:rsidR="0039734B" w:rsidRPr="00E1625E" w:rsidRDefault="0039734B" w:rsidP="0039734B">
      <w:pPr>
        <w:widowControl w:val="0"/>
        <w:numPr>
          <w:ilvl w:val="0"/>
          <w:numId w:val="2"/>
        </w:numPr>
        <w:tabs>
          <w:tab w:val="clear" w:pos="675"/>
          <w:tab w:val="left" w:pos="0"/>
          <w:tab w:val="left" w:pos="709"/>
          <w:tab w:val="left" w:pos="851"/>
          <w:tab w:val="num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25E">
        <w:rPr>
          <w:sz w:val="28"/>
          <w:szCs w:val="28"/>
        </w:rPr>
        <w:t xml:space="preserve">Набойченко С.С. Институционализация интеллектуальной деятельности в инновационной экономике: теоретический </w:t>
      </w:r>
      <w:proofErr w:type="gramStart"/>
      <w:r w:rsidRPr="00E1625E">
        <w:rPr>
          <w:sz w:val="28"/>
          <w:szCs w:val="28"/>
        </w:rPr>
        <w:t>аспект./</w:t>
      </w:r>
      <w:proofErr w:type="gramEnd"/>
      <w:r w:rsidRPr="00E1625E">
        <w:rPr>
          <w:sz w:val="28"/>
          <w:szCs w:val="28"/>
        </w:rPr>
        <w:t>/ Уральский экономический вестник.-2011.-№2.-С.20-26.</w:t>
      </w:r>
    </w:p>
    <w:p w14:paraId="1DB32F20" w14:textId="77777777" w:rsidR="0039734B" w:rsidRPr="00E1625E" w:rsidRDefault="0039734B" w:rsidP="0013586D">
      <w:pPr>
        <w:widowControl w:val="0"/>
        <w:numPr>
          <w:ilvl w:val="0"/>
          <w:numId w:val="2"/>
        </w:numPr>
        <w:tabs>
          <w:tab w:val="clear" w:pos="675"/>
          <w:tab w:val="left" w:pos="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</w:p>
    <w:p w14:paraId="3E2D6B2D" w14:textId="77777777" w:rsidR="0013586D" w:rsidRPr="00F820AE" w:rsidRDefault="0013586D" w:rsidP="00073593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38F1D8F" w14:textId="77777777" w:rsidR="00073593" w:rsidRPr="00E1625E" w:rsidRDefault="00073593" w:rsidP="00073593">
      <w:pPr>
        <w:spacing w:line="360" w:lineRule="auto"/>
        <w:ind w:firstLine="708"/>
        <w:jc w:val="both"/>
        <w:rPr>
          <w:sz w:val="28"/>
          <w:szCs w:val="28"/>
        </w:rPr>
      </w:pPr>
    </w:p>
    <w:p w14:paraId="046DEC37" w14:textId="77777777" w:rsidR="00073593" w:rsidRPr="00E1625E" w:rsidRDefault="00073593" w:rsidP="00073593">
      <w:pPr>
        <w:spacing w:line="360" w:lineRule="auto"/>
        <w:ind w:firstLine="708"/>
        <w:jc w:val="both"/>
        <w:rPr>
          <w:sz w:val="28"/>
          <w:szCs w:val="28"/>
        </w:rPr>
      </w:pPr>
    </w:p>
    <w:p w14:paraId="080BB7BA" w14:textId="77777777" w:rsidR="00073593" w:rsidRPr="00E1625E" w:rsidRDefault="00073593" w:rsidP="00073593">
      <w:pPr>
        <w:spacing w:line="360" w:lineRule="auto"/>
        <w:ind w:firstLine="708"/>
        <w:jc w:val="both"/>
        <w:rPr>
          <w:sz w:val="28"/>
          <w:szCs w:val="28"/>
        </w:rPr>
      </w:pPr>
    </w:p>
    <w:p w14:paraId="44940175" w14:textId="77777777" w:rsidR="00073593" w:rsidRPr="00E1625E" w:rsidRDefault="00073593" w:rsidP="00073593">
      <w:pPr>
        <w:spacing w:line="360" w:lineRule="auto"/>
        <w:ind w:firstLine="708"/>
        <w:jc w:val="both"/>
        <w:rPr>
          <w:sz w:val="28"/>
          <w:szCs w:val="28"/>
        </w:rPr>
      </w:pPr>
    </w:p>
    <w:p w14:paraId="6A327B70" w14:textId="77777777" w:rsidR="00073593" w:rsidRDefault="00073593" w:rsidP="000C7A7A">
      <w:pPr>
        <w:tabs>
          <w:tab w:val="left" w:pos="1785"/>
        </w:tabs>
        <w:spacing w:line="360" w:lineRule="auto"/>
        <w:jc w:val="both"/>
        <w:rPr>
          <w:sz w:val="28"/>
          <w:szCs w:val="28"/>
        </w:rPr>
      </w:pPr>
    </w:p>
    <w:p w14:paraId="1F194E14" w14:textId="77777777" w:rsidR="000C7A7A" w:rsidRDefault="000C7A7A"/>
    <w:sectPr w:rsidR="000C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5C4E38"/>
    <w:lvl w:ilvl="0">
      <w:numFmt w:val="decimal"/>
      <w:lvlText w:val="*"/>
      <w:lvlJc w:val="left"/>
    </w:lvl>
  </w:abstractNum>
  <w:abstractNum w:abstractNumId="1" w15:restartNumberingAfterBreak="0">
    <w:nsid w:val="6B637D7C"/>
    <w:multiLevelType w:val="hybridMultilevel"/>
    <w:tmpl w:val="911A3362"/>
    <w:lvl w:ilvl="0" w:tplc="07EC55C6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41692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hint="default"/>
        </w:rPr>
      </w:lvl>
    </w:lvlOverride>
  </w:num>
  <w:num w:numId="2" w16cid:durableId="45536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7A"/>
    <w:rsid w:val="00043DF8"/>
    <w:rsid w:val="00073593"/>
    <w:rsid w:val="000B6B04"/>
    <w:rsid w:val="000C7A7A"/>
    <w:rsid w:val="0013586D"/>
    <w:rsid w:val="00234796"/>
    <w:rsid w:val="0039734B"/>
    <w:rsid w:val="003B57E7"/>
    <w:rsid w:val="00625C66"/>
    <w:rsid w:val="006945F7"/>
    <w:rsid w:val="006F2E4B"/>
    <w:rsid w:val="00853D46"/>
    <w:rsid w:val="00907647"/>
    <w:rsid w:val="00F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37FC"/>
  <w15:chartTrackingRefBased/>
  <w15:docId w15:val="{E383F8F9-27E4-4656-9987-2AD7A0D6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tima-sochi.ru/our-services/predlozhenie-po-rekla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Винокуров</dc:creator>
  <cp:keywords/>
  <dc:description/>
  <cp:lastModifiedBy>Борис Винокуров</cp:lastModifiedBy>
  <cp:revision>13</cp:revision>
  <dcterms:created xsi:type="dcterms:W3CDTF">2022-11-13T09:35:00Z</dcterms:created>
  <dcterms:modified xsi:type="dcterms:W3CDTF">2022-11-13T22:42:00Z</dcterms:modified>
</cp:coreProperties>
</file>